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创作美术新作品，开展美术创作的理论研究、学术交流、专业培训辅导、举办美术作品展览等，促进美术事业发展</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部门本级（内设4个职能处室）。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9399306.40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8255107.61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371327.98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889.21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9400195.61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9296435.59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103760.02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9400195.61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9400195.61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9400195.61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9399306.40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889.21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文化旅游体育与传媒支出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8336195.61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8335306.40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889.21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文化和旅游</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7936405.61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7935516.40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889.21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2070111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文化创作与保护</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7936405.61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7935516.40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889.21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其他文化旅游体育与传媒支出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399790.00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399790.00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其他文化旅游体育与传媒支出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399790.00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399790.00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9400195.61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9400195.61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9399306.40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889.21</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642201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9400195.61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9400195.61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9399306.40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889.21</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642201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9296435.59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7600334.78</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1696100.81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文化旅游体育与传媒支出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8255107.61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6559006.80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1696100.81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文化和旅游</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7855317.61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6559006.80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1296310.81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2070111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文化创作与保护</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7855317.61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6559006.80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1296310.81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其他文化旅游体育与传媒支出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399790.00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399790.00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其他文化旅游体育与传媒支出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399790.00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399790.00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371327.98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371327.98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371327.98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371327.98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78327.98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78327.98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9399306.40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8254218.40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8254218.40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670000.00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670000.00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371327.98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371327.98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9399306.40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9295546.38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9295546.38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103760.02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103760.02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9399306.40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9399306.40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9399306.40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9295546.38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7599445.57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6965811.57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633634.00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1696100.81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文化旅游体育与传媒支出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8254218.40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6558117.59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5924483.59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633634.00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1696100.81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文化和旅游</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7854428.40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6558117.59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5924483.59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633634.00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1296310.81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2070111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文化创作与保护</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7854428.40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6558117.59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5924483.59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633634.00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1296310.81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其他文化旅游体育与传媒支出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399790.00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399790.00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其他文化旅游体育与传媒支出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399790.00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399790.00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78327.98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78327.98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78327.98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6752294.39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633634.00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1746319.00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38297.10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568558.40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195333.00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19043.10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1399731.00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45323.68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3819.00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34493.29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1573323.00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24439.07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243536.70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213517.18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163189.20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3039.00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50327.98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4549.40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2042.50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53040.00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50961.15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6965811.57</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633634.00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2042.50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2042.50</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2042.50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1696100.81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1696100.81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文化旅游体育与传媒支出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1696100.81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1696100.81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文化和旅游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1296310.81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1296310.81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2070111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文化创作与保护</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1296310.81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1296310.81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其他文化旅游体育与传媒支出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399790.00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399790.00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其他文化旅游体育与传媒支出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399790.00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399790.00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9,400,195.61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增加272,398.11元，增长2.98%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在职人员增加导致人员经费增加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一般公共预算财政拨款收入9,399,306.40元、其他收入889.21元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文化旅游体育与传媒支出8,255,107.61元、社会保障和就业支出670,000.00元、卫生健康支出371,327.98元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6621"/>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9,400,195.61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增加272,398.11元，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在职人员增加导致人员经费增加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一般公共预算财政拨款收入9,399,306.40元，占99.99%；其他收入889.21元，占0.01%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9,296,435.59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增加169,399.72元，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在职人员增加导致人员经费增加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基本支出7,600,334.78元，占81.76%；项目支出1,696,100.81元，占18.24%</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9,399,306.40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增加272,370.53元，增长2.98%，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在职人员增加导致人员经费增加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一般公共预算财政拨款9,399,306.40元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文化旅游体育与传媒支出8,254,218.40元、社会保障和就业支出670,000.00元、卫生健康支出371,327.98元、年末财政拨款结转和结余103,760.02元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天津画院2025年度一般公共预算财政拨款支出合计9,295,546.38元，占本年支出合计的99.99%。与2024年度相比，一般公共预算财政拨款支出</w:t>
      </w:r>
      <w:r>
        <w:rPr>
          <w:rFonts w:eastAsia="仿宋_GB2312" w:hint="eastAsia"/>
          <w:sz w:val="30"/>
          <w:szCs w:val="30"/>
          <w:highlight w:val="none"/>
          <w:lang w:val="en-US" w:eastAsia="zh-CN"/>
        </w:rPr>
        <w:t xml:space="preserve">增加168,610.51元</w:t>
      </w:r>
      <w:r>
        <w:rPr>
          <w:rFonts w:eastAsia="仿宋_GB2312" w:hint="eastAsia"/>
          <w:sz w:val="30"/>
          <w:szCs w:val="30"/>
          <w:highlight w:val="none"/>
          <w:lang w:val="en-US" w:eastAsia="zh-CN"/>
        </w:rPr>
        <w:t xml:space="preserve">，增长1.85%</w:t>
      </w:r>
      <w:r>
        <w:rPr>
          <w:rFonts w:eastAsia="仿宋_GB2312" w:hint="eastAsia"/>
          <w:sz w:val="30"/>
          <w:szCs w:val="30"/>
          <w:highlight w:val="none"/>
          <w:lang w:val="en-US" w:eastAsia="zh-CN"/>
        </w:rPr>
        <w:t xml:space="preserve">，主要原因是在职人员增加导致人员经费增加。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2025年度一般公共预算财政拨款支出9,295,546.38元，主要用于以下方面：</w:t>
      </w:r>
      <w:r>
        <w:rPr>
          <w:rFonts w:eastAsia="仿宋_GB2312" w:hint="eastAsia"/>
          <w:sz w:val="30"/>
          <w:szCs w:val="30"/>
          <w:highlight w:val="none"/>
        </w:rPr>
        <w:t xml:space="preserve">文化旅游体育与传媒支出（类）支出8,254,218.40元，占88.80%，社会保障和就业支出（类）支出670,000.00元，占7.21%，卫生健康支出（类）支出371,327.98元，占3.99%</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2025年度一般公共预算财政拨款支出年初预算为8,728,000.00元，支出决算为9,295,546.38元</w:t>
      </w:r>
      <w:r>
        <w:rPr>
          <w:rFonts w:eastAsia="仿宋_GB2312" w:hint="eastAsia"/>
          <w:sz w:val="30"/>
          <w:szCs w:val="30"/>
          <w:highlight w:val="none"/>
          <w:lang w:val="en-US" w:eastAsia="zh-CN"/>
        </w:rPr>
        <w:t xml:space="preserve">，完成年初预算的106.50%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文化旅游体育与传媒支出（类）文化和旅游（款）文化创作与保护（项）年初预算为7,264,000.00元，支出决算为7,854,428.40元，完成年初预算的108.13%，决算数大于年初预算数的主要原因是：在职人员增加导致人员经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文化旅游体育与传媒支出（类）其他文化旅游体育与传媒支出（款）其他文化旅游体育与传媒支出（项）年初预算为400,000.00元，支出决算为399,790.00元，完成年初预算的99.95%，决算数小于年初预算数的主要原因是：落实过紧日子要求，严格控制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447,000.00元，支出决算为447,000.00元，完成年初预算的100.00%，决算数与年初预算数持平的主要原因是：按照预算批复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223,000.00元，支出决算为223,000.00元，完成年初预算的100.00%，决算数与年初预算数持平的主要原因是：按照预算批复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5.卫生健康支出（类）行政事业单位医疗（款）事业单位医疗（项）年初预算为293,000.00元，支出决算为293,000.00元，完成年初预算的100.00%，决算数与年初预算数持平的主要原因是：按照预算批复执行。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其他行政事业单位医疗支出（项）年初预算为101,000.00元，支出决算为78,327.98元，完成年初预算的77.55%，决算数小于年初预算数的主要原因是：按照退休人员实际情况据实列支。</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天津画院2025年度一般公共预算财政拨款基本支出合计7,599,445.57元，与2024年度相比</w:t>
      </w:r>
      <w:r>
        <w:rPr>
          <w:rFonts w:eastAsia="仿宋_GB2312" w:hint="eastAsia"/>
          <w:sz w:val="30"/>
          <w:szCs w:val="30"/>
          <w:highlight w:val="none"/>
          <w:lang w:val="en-US" w:eastAsia="zh-CN"/>
        </w:rPr>
        <w:t xml:space="preserve">增加453,172.20元，</w:t>
      </w:r>
      <w:r>
        <w:rPr>
          <w:rFonts w:eastAsia="仿宋_GB2312" w:hint="eastAsia"/>
          <w:sz w:val="30"/>
          <w:szCs w:val="30"/>
          <w:highlight w:val="none"/>
          <w:lang w:val="en-US" w:eastAsia="zh-CN"/>
        </w:rPr>
        <w:t xml:space="preserve">主要原因是在职人员增加导致人员经费增加。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人员经费6,965,811.57元，主要包括</w:t>
      </w:r>
      <w:r>
        <w:rPr>
          <w:rFonts w:eastAsia="仿宋_GB2312" w:hint="eastAsia"/>
          <w:sz w:val="30"/>
          <w:szCs w:val="30"/>
          <w:highlight w:val="none"/>
          <w:lang w:val="en-US" w:eastAsia="zh-CN"/>
        </w:rPr>
        <w:t xml:space="preserve">基本工资、津贴补贴、奖金、绩效工资、机关事业单位基本养老保险缴费、职业年金缴费、职工基本医疗保险缴费、其他社会保障缴费、住房公积金、医疗费、其他工资福利支出、退休费、医疗费补助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公用经费633,634.00元，主要包括</w:t>
      </w:r>
      <w:r>
        <w:rPr>
          <w:rFonts w:eastAsia="仿宋_GB2312" w:hint="eastAsia"/>
          <w:sz w:val="30"/>
          <w:szCs w:val="30"/>
          <w:highlight w:val="none"/>
          <w:lang w:val="en-US" w:eastAsia="zh-CN"/>
        </w:rPr>
        <w:t xml:space="preserve">办公费、水费、电费、邮电费、物业管理费、差旅费、维修(护)费、培训费、专用材料费、工会经费、福利费、公务用车运行维护费、其他交通费用、其他商品和服务支出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4,000.00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2,042.50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减少1,957.50元</w:t>
      </w:r>
      <w:r>
        <w:rPr>
          <w:rFonts w:eastAsia="仿宋_GB2312" w:hint="eastAsia"/>
          <w:sz w:val="30"/>
          <w:szCs w:val="30"/>
          <w:highlight w:val="none"/>
          <w:lang w:val="en-US" w:eastAsia="zh-CN"/>
        </w:rPr>
        <w:t xml:space="preserve">，完成预算的51.06%</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支出决算较上年减少957.50元</w:t>
      </w:r>
      <w:r>
        <w:rPr>
          <w:rFonts w:eastAsia="仿宋_GB2312" w:hint="eastAsia"/>
          <w:sz w:val="30"/>
          <w:szCs w:val="30"/>
          <w:highlight w:val="none"/>
          <w:lang w:val="en-US" w:eastAsia="zh-CN"/>
        </w:rPr>
        <w:t xml:space="preserve">，下降31.92%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决算数小于预算数的主要原因是合理安排三公经费，严控“三公”经费支出，压减公务用车运维费支出；</w:t>
      </w:r>
      <w:r>
        <w:rPr>
          <w:rFonts w:eastAsia="仿宋_GB2312" w:hint="eastAsia"/>
          <w:sz w:val="30"/>
          <w:szCs w:val="30"/>
          <w:highlight w:val="none"/>
          <w:lang w:val="en-US" w:eastAsia="zh-CN"/>
        </w:rPr>
        <w:t xml:space="preserve">决算数较上年减少的主要原因是合理安排三公经费，严控“三公”经费支出，压减公务用车运维费支出。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决算数与预算数持平的主要原因是本年度未安排因公出国（境）任务；</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2,042.50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减少957.50元</w:t>
      </w:r>
      <w:r>
        <w:rPr>
          <w:rFonts w:eastAsia="仿宋_GB2312" w:hint="eastAsia"/>
          <w:sz w:val="30"/>
          <w:szCs w:val="30"/>
          <w:highlight w:val="none"/>
          <w:lang w:val="en-US" w:eastAsia="zh-CN"/>
        </w:rPr>
        <w:t xml:space="preserve">，完成预算的68.08%</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支出决算较上年减少957.50元</w:t>
      </w:r>
      <w:r>
        <w:rPr>
          <w:rFonts w:eastAsia="仿宋_GB2312" w:hint="eastAsia"/>
          <w:sz w:val="30"/>
          <w:szCs w:val="30"/>
          <w:highlight w:val="none"/>
          <w:lang w:val="en-US" w:eastAsia="zh-CN"/>
        </w:rPr>
        <w:t xml:space="preserve">，下降31.92%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决算数小于预算数的主要原因是合理安排公车使用，严控公务用车运行维护费支出；</w:t>
      </w:r>
      <w:r>
        <w:rPr>
          <w:rFonts w:eastAsia="仿宋_GB2312" w:hint="eastAsia"/>
          <w:sz w:val="30"/>
          <w:szCs w:val="30"/>
          <w:highlight w:val="none"/>
          <w:lang w:val="en-US" w:eastAsia="zh-CN"/>
        </w:rPr>
        <w:t xml:space="preserve">决算数较上年减少的主要原因是合理安排公车使用，严控公务用车运行维护费支出。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2,042.50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减少957.50元</w:t>
      </w:r>
      <w:r>
        <w:rPr>
          <w:rFonts w:eastAsia="仿宋_GB2312" w:hint="eastAsia"/>
          <w:sz w:val="30"/>
          <w:szCs w:val="30"/>
          <w:highlight w:val="none"/>
          <w:lang w:val="en-US" w:eastAsia="zh-CN"/>
        </w:rPr>
        <w:t xml:space="preserve">，完成预算的68.08%</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支出决算较上年减少957.50元</w:t>
      </w:r>
      <w:r>
        <w:rPr>
          <w:rFonts w:eastAsia="仿宋_GB2312" w:hint="eastAsia"/>
          <w:sz w:val="30"/>
          <w:szCs w:val="30"/>
          <w:highlight w:val="none"/>
          <w:lang w:val="en-US" w:eastAsia="zh-CN"/>
        </w:rPr>
        <w:t xml:space="preserve">，下降31.92%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决算数小于预算数的主要原因是合理安排公车使用，严控公务用车运行维护费支出；</w:t>
      </w:r>
      <w:r>
        <w:rPr>
          <w:rFonts w:eastAsia="仿宋_GB2312" w:hint="eastAsia"/>
          <w:sz w:val="30"/>
          <w:szCs w:val="30"/>
          <w:highlight w:val="none"/>
          <w:lang w:val="en-US" w:eastAsia="zh-CN"/>
        </w:rPr>
        <w:t xml:space="preserve">决算数较上年减少的主要原因是合理安排公车使用，严控公务用车运行维护费支出。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减少1,000.00元</w:t>
      </w:r>
      <w:r>
        <w:rPr>
          <w:rFonts w:eastAsia="仿宋_GB2312" w:hint="eastAsia"/>
          <w:sz w:val="30"/>
          <w:szCs w:val="30"/>
          <w:highlight w:val="none"/>
          <w:lang w:val="en-US" w:eastAsia="zh-CN"/>
        </w:rPr>
        <w:t xml:space="preserve">，完成预算的0.00%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画院2025年政府采购支出总额1,145,998.99元，其中：政府采购货物支出0.00元、政府采购工程支出0.00元、政府采购服务支出1,145,998.99元。授予中小企业合同金额1,145,998.99元，占政府采购支出总额的100.00%，其中：授予小微企业合同金额1,145,998.99元，占政府采购支出总额的100.00%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截至2025年12月31日，天津画院共有车辆1辆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机要通信用车1辆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根据预算绩效管理要求，天津画院已对2个2025年度市级项目开展绩效自评，涉及金额1,696,100.81元，自评结果已随部门决算一并公开。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40864B45-FF6D-429A-B0B8-9EDE6E602413}"/>
    <w:embedBold r:id="rId2" w:subsetted="1" w:fontKey="{2D74F27E-884D-4F06-8C47-D6E3B3FCA6D3}"/>
  </w:font>
  <w:font w:name="Cambria">
    <w:panose1 w:val="02040503050406030204"/>
    <w:charset w:val="00"/>
    <w:family w:val="roman"/>
    <w:pitch w:val="default"/>
    <w:sig w:usb0="E00006FF" w:usb1="420024FF" w:usb2="02000000" w:usb3="00000000" w:csb0="2000019F" w:csb1="00000000"/>
    <w:embedRegular r:id="rId3" w:fontKey="{73057262-DC99-40ED-8A2E-B81443B1490C}"/>
  </w:font>
  <w:font w:name="Calibri">
    <w:panose1 w:val="020F0502020204030204"/>
    <w:charset w:val="00"/>
    <w:family w:val="swiss"/>
    <w:pitch w:val="default"/>
    <w:sig w:usb0="E4002EFF" w:usb1="C200247B" w:usb2="00000009" w:usb3="00000000" w:csb0="200001FF" w:csb1="00000000"/>
    <w:embedRegular r:id="rId4" w:fontKey="{3950AF38-714A-4AEC-BD97-FEF0CAB73418}"/>
  </w:font>
  <w:font w:name="黑体">
    <w:panose1 w:val="02010609060101010101"/>
    <w:charset w:val="FFFFFF86"/>
    <w:family w:val="auto"/>
    <w:pitch w:val="default"/>
    <w:sig w:usb0="800002BF" w:usb1="38CF7CFA" w:usb2="00000016" w:usb3="00000000" w:csb0="00040001" w:csb1="00000000"/>
    <w:embedRegular r:id="rId5" w:subsetted="1" w:fontKey="{F660D6AF-7FC4-431A-9112-31FB83F616BC}"/>
    <w:embedBold r:id="rId6" w:subsetted="1" w:fontKey="{6CE0BB69-979B-4D29-9C2F-64A2A12FA795}"/>
  </w:font>
  <w:font w:name="方正小标宋简体">
    <w:altName w:val="黑体"/>
    <w:panose1 w:val="02000000000000000000"/>
    <w:charset w:val="FFFFFF86"/>
    <w:family w:val="auto"/>
    <w:pitch w:val="default"/>
    <w:sig w:usb0="00000001" w:usb1="08000000" w:usb2="00000000" w:usb3="00000000" w:csb0="00040000" w:csb1="00000000"/>
    <w:embedRegular r:id="rId7" w:fontKey="{99F0014F-42AD-484D-B925-6C0300B23AE3}"/>
    <w:embedBold r:id="rId8" w:fontKey="{0599BC5D-154A-4FB5-949F-4B5EDB2C03B6}"/>
  </w:font>
  <w:font w:name="仿宋">
    <w:panose1 w:val="02010609060101010101"/>
    <w:charset w:val="FFFFFF86"/>
    <w:family w:val="auto"/>
    <w:pitch w:val="default"/>
    <w:sig w:usb0="800002BF" w:usb1="38CF7CFA" w:usb2="00000016" w:usb3="00000000" w:csb0="00040001" w:csb1="00000000"/>
    <w:embedRegular r:id="rId9" w:subsetted="1" w:fontKey="{48ADCFA7-D4F4-4C6C-9E2E-F8AAE06380CA}"/>
  </w:font>
  <w:font w:name="方正仿宋_GB2312">
    <w:altName w:val="仿宋"/>
    <w:panose1 w:val="02000000000000000000"/>
    <w:charset w:val="FFFFFF86"/>
    <w:family w:val="auto"/>
    <w:pitch w:val="default"/>
    <w:sig w:usb0="A00002BF" w:usb1="184F6CFA" w:usb2="00000012" w:usb3="00000000" w:csb0="00040001" w:csb1="00000000"/>
    <w:embedRegular r:id="rId10" w:fontKey="{D04D9F14-F297-4CC4-9701-0CC616C233AE}"/>
  </w:font>
  <w:font w:name="仿宋_GB2312">
    <w:altName w:val="仿宋"/>
    <w:panose1 w:val="02010609030101010101"/>
    <w:charset w:val="FFFFFF86"/>
    <w:family w:val="auto"/>
    <w:pitch w:val="default"/>
    <w:sig w:usb0="00000001" w:usb1="080E0000" w:usb2="00000000" w:usb3="00000000" w:csb0="00040000" w:csb1="00000000"/>
    <w:embedRegular r:id="rId11" w:fontKey="{8EA15EAB-E8D4-4B6D-BA37-423CEB9DCB85}"/>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766C7639-811B-4555-8B2C-C4DCB8DB6CD1}"/>
    <w:embedBold r:id="rId13" w:subsetted="1" w:fontKey="{808F650E-1A3F-4A1B-9D78-4D1DCA67CE3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27</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30</Pages>
  <Words>636</Words>
  <Characters>917</Characters>
  <Application>WPS Office_12.1.0.28043_F1E327BC-269C-435d-A152-05C5408002CA</Application>
  <DocSecurity>0</DocSecurity>
  <Lines>60</Lines>
  <Paragraphs>16</Paragraphs>
  <ScaleCrop>false</ScaleCrop>
  <Company>Microsoft</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2026-08-18T02:10:34Z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