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天津画院</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1576262397"/>
      <w:bookmarkStart w:id="2" w:name="_Toc403062085"/>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1747823728"/>
      <w:bookmarkStart w:id="6" w:name="_Toc909979739"/>
      <w:bookmarkStart w:id="7" w:name="_Toc1101039957"/>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天津画院</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创作美术新作品，开展美术创作的理论研究、学术交流、专业培训辅导、举办美术作品展览等，促进美术事业发展</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244589183"/>
      <w:bookmarkStart w:id="9" w:name="_Toc1798423086"/>
      <w:bookmarkStart w:id="10" w:name="_Toc503854210"/>
      <w:bookmarkStart w:id="11" w:name="_Toc311971100"/>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天津画院内设4个职能处室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天津画院</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1.天津画院(本级)。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264474877"/>
      <w:bookmarkStart w:id="13" w:name="_Toc1290695373"/>
      <w:bookmarkStart w:id="14" w:name="_Toc52669832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708717694"/>
      <w:bookmarkStart w:id="20" w:name="_Toc291121727"/>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9,126,935.87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8,122,046.37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632,164.00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372,825.50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861.63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9,127,797.50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9,127,035.87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761.63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9,127,797.50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9,127,797.50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9,127,797.50</w:t>
            </w:r>
          </w:p>
        </w:tc>
        <w:tc>
          <w:tcPr>
            <w:tcW w:w="1240" w:type="dxa"/>
            <w:tcBorders/>
            <w:vAlign w:val="center"/>
          </w:tcPr>
          <w:p>
            <w:pPr>
              <w:snapToGrid w:val="0"/>
              <w:jc w:val="right"/>
            </w:pPr>
            <w:r>
              <w:rPr>
                <w:rFonts w:ascii="宋体" w:eastAsia="宋体" w:hAnsi="宋体" w:cs="宋体"/>
                <w:b w:val="0"/>
                <w:i w:val="0"/>
                <w:color w:val="000000"/>
                <w:sz w:val="14"/>
              </w:rPr>
              <w:t xml:space="preserve">9,126,935.87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8,122,808.00</w:t>
            </w:r>
          </w:p>
        </w:tc>
        <w:tc>
          <w:tcPr>
            <w:tcW w:w="1240" w:type="dxa"/>
            <w:tcBorders/>
            <w:vAlign w:val="center"/>
          </w:tcPr>
          <w:p>
            <w:pPr>
              <w:snapToGrid w:val="0"/>
              <w:jc w:val="right"/>
            </w:pPr>
            <w:r>
              <w:rPr>
                <w:rFonts w:ascii="宋体" w:eastAsia="宋体" w:hAnsi="宋体" w:cs="宋体"/>
                <w:b w:val="0"/>
                <w:i w:val="0"/>
                <w:color w:val="000000"/>
                <w:sz w:val="14"/>
              </w:rPr>
              <w:t xml:space="preserve">8,121,946.37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w:t>
            </w:r>
          </w:p>
        </w:tc>
        <w:tc>
          <w:tcPr>
            <w:tcW w:w="2520" w:type="dxa"/>
            <w:tcBorders/>
            <w:vAlign w:val="center"/>
          </w:tcPr>
          <w:p>
            <w:pPr>
              <w:snapToGrid w:val="0"/>
              <w:jc w:val="left"/>
            </w:pPr>
            <w:r>
              <w:rPr>
                <w:rFonts w:ascii="宋体" w:eastAsia="宋体" w:hAnsi="宋体" w:cs="宋体"/>
                <w:b w:val="0"/>
                <w:i w:val="0"/>
                <w:color w:val="000000"/>
                <w:sz w:val="14"/>
              </w:rPr>
              <w:t xml:space="preserve">文化和旅游</w:t>
            </w:r>
          </w:p>
        </w:tc>
        <w:tc>
          <w:tcPr>
            <w:tcW w:w="1240" w:type="dxa"/>
            <w:tcBorders/>
            <w:vAlign w:val="center"/>
          </w:tcPr>
          <w:p>
            <w:pPr>
              <w:snapToGrid w:val="0"/>
              <w:jc w:val="right"/>
            </w:pPr>
            <w:r>
              <w:rPr>
                <w:rFonts w:ascii="宋体" w:eastAsia="宋体" w:hAnsi="宋体" w:cs="宋体"/>
                <w:b w:val="0"/>
                <w:i w:val="0"/>
                <w:color w:val="000000"/>
                <w:sz w:val="14"/>
              </w:rPr>
              <w:t xml:space="preserve">7,498,001.50</w:t>
            </w:r>
          </w:p>
        </w:tc>
        <w:tc>
          <w:tcPr>
            <w:tcW w:w="1240" w:type="dxa"/>
            <w:tcBorders/>
            <w:vAlign w:val="center"/>
          </w:tcPr>
          <w:p>
            <w:pPr>
              <w:snapToGrid w:val="0"/>
              <w:jc w:val="right"/>
            </w:pPr>
            <w:r>
              <w:rPr>
                <w:rFonts w:ascii="宋体" w:eastAsia="宋体" w:hAnsi="宋体" w:cs="宋体"/>
                <w:b w:val="0"/>
                <w:i w:val="0"/>
                <w:color w:val="000000"/>
                <w:sz w:val="14"/>
              </w:rPr>
              <w:t xml:space="preserve">7,497,139.87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2070111</w:t>
            </w:r>
          </w:p>
        </w:tc>
        <w:tc>
          <w:tcPr>
            <w:tcW w:w="2520" w:type="dxa"/>
            <w:tcBorders/>
            <w:vAlign w:val="center"/>
          </w:tcPr>
          <w:p>
            <w:pPr>
              <w:snapToGrid w:val="0"/>
              <w:jc w:val="left"/>
            </w:pPr>
            <w:r>
              <w:rPr>
                <w:rFonts w:ascii="宋体" w:eastAsia="宋体" w:hAnsi="宋体" w:cs="宋体"/>
                <w:b w:val="0"/>
                <w:i w:val="0"/>
                <w:color w:val="000000"/>
                <w:sz w:val="14"/>
              </w:rPr>
              <w:t xml:space="preserve">文化创作与保护</w:t>
            </w:r>
          </w:p>
        </w:tc>
        <w:tc>
          <w:tcPr>
            <w:tcW w:w="1240" w:type="dxa"/>
            <w:tcBorders/>
            <w:vAlign w:val="center"/>
          </w:tcPr>
          <w:p>
            <w:pPr>
              <w:snapToGrid w:val="0"/>
              <w:jc w:val="right"/>
            </w:pPr>
            <w:r>
              <w:rPr>
                <w:rFonts w:ascii="宋体" w:eastAsia="宋体" w:hAnsi="宋体" w:cs="宋体"/>
                <w:b w:val="0"/>
                <w:i w:val="0"/>
                <w:color w:val="000000"/>
                <w:sz w:val="14"/>
              </w:rPr>
              <w:t xml:space="preserve">7,498,001.50</w:t>
            </w:r>
          </w:p>
        </w:tc>
        <w:tc>
          <w:tcPr>
            <w:tcW w:w="1240" w:type="dxa"/>
            <w:tcBorders/>
            <w:vAlign w:val="center"/>
          </w:tcPr>
          <w:p>
            <w:pPr>
              <w:snapToGrid w:val="0"/>
              <w:jc w:val="right"/>
            </w:pPr>
            <w:r>
              <w:rPr>
                <w:rFonts w:ascii="宋体" w:eastAsia="宋体" w:hAnsi="宋体" w:cs="宋体"/>
                <w:b w:val="0"/>
                <w:i w:val="0"/>
                <w:color w:val="000000"/>
                <w:sz w:val="14"/>
              </w:rPr>
              <w:t xml:space="preserve">7,497,139.87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861.63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snapToGrid w:val="0"/>
              <w:jc w:val="right"/>
            </w:pPr>
            <w:r>
              <w:rPr>
                <w:rFonts w:ascii="宋体" w:eastAsia="宋体" w:hAnsi="宋体" w:cs="宋体"/>
                <w:b w:val="0"/>
                <w:i w:val="0"/>
                <w:color w:val="000000"/>
                <w:sz w:val="14"/>
              </w:rPr>
              <w:t xml:space="preserve">624,806.50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snapToGrid w:val="0"/>
              <w:jc w:val="right"/>
            </w:pPr>
            <w:r>
              <w:rPr>
                <w:rFonts w:ascii="宋体" w:eastAsia="宋体" w:hAnsi="宋体" w:cs="宋体"/>
                <w:b w:val="0"/>
                <w:i w:val="0"/>
                <w:color w:val="000000"/>
                <w:sz w:val="14"/>
              </w:rPr>
              <w:t xml:space="preserve">632,164.00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400,164.00</w:t>
            </w:r>
          </w:p>
        </w:tc>
        <w:tc>
          <w:tcPr>
            <w:tcW w:w="1240" w:type="dxa"/>
            <w:tcBorders/>
            <w:vAlign w:val="center"/>
          </w:tcPr>
          <w:p>
            <w:pPr>
              <w:snapToGrid w:val="0"/>
              <w:jc w:val="right"/>
            </w:pPr>
            <w:r>
              <w:rPr>
                <w:rFonts w:ascii="宋体" w:eastAsia="宋体" w:hAnsi="宋体" w:cs="宋体"/>
                <w:b w:val="0"/>
                <w:i w:val="0"/>
                <w:color w:val="000000"/>
                <w:sz w:val="14"/>
              </w:rPr>
              <w:t xml:space="preserve">400,164.00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232,000.00</w:t>
            </w:r>
          </w:p>
        </w:tc>
        <w:tc>
          <w:tcPr>
            <w:tcW w:w="1240" w:type="dxa"/>
            <w:tcBorders/>
            <w:vAlign w:val="center"/>
          </w:tcPr>
          <w:p>
            <w:pPr>
              <w:snapToGrid w:val="0"/>
              <w:jc w:val="right"/>
            </w:pPr>
            <w:r>
              <w:rPr>
                <w:rFonts w:ascii="宋体" w:eastAsia="宋体" w:hAnsi="宋体" w:cs="宋体"/>
                <w:b w:val="0"/>
                <w:i w:val="0"/>
                <w:color w:val="000000"/>
                <w:sz w:val="14"/>
              </w:rPr>
              <w:t xml:space="preserve">232,000.00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snapToGrid w:val="0"/>
              <w:jc w:val="right"/>
            </w:pPr>
            <w:r>
              <w:rPr>
                <w:rFonts w:ascii="宋体" w:eastAsia="宋体" w:hAnsi="宋体" w:cs="宋体"/>
                <w:b w:val="0"/>
                <w:i w:val="0"/>
                <w:color w:val="000000"/>
                <w:sz w:val="14"/>
              </w:rPr>
              <w:t xml:space="preserve">372,825.50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290,000.00</w:t>
            </w:r>
          </w:p>
        </w:tc>
        <w:tc>
          <w:tcPr>
            <w:tcW w:w="1240" w:type="dxa"/>
            <w:tcBorders/>
            <w:vAlign w:val="center"/>
          </w:tcPr>
          <w:p>
            <w:pPr>
              <w:snapToGrid w:val="0"/>
              <w:jc w:val="right"/>
            </w:pPr>
            <w:r>
              <w:rPr>
                <w:rFonts w:ascii="宋体" w:eastAsia="宋体" w:hAnsi="宋体" w:cs="宋体"/>
                <w:b w:val="0"/>
                <w:i w:val="0"/>
                <w:color w:val="000000"/>
                <w:sz w:val="14"/>
              </w:rPr>
              <w:t xml:space="preserve">290,000.00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82,825.50</w:t>
            </w:r>
          </w:p>
        </w:tc>
        <w:tc>
          <w:tcPr>
            <w:tcW w:w="1240" w:type="dxa"/>
            <w:tcBorders/>
            <w:vAlign w:val="center"/>
          </w:tcPr>
          <w:p>
            <w:pPr>
              <w:snapToGrid w:val="0"/>
              <w:jc w:val="right"/>
            </w:pPr>
            <w:r>
              <w:rPr>
                <w:rFonts w:ascii="宋体" w:eastAsia="宋体" w:hAnsi="宋体" w:cs="宋体"/>
                <w:b w:val="0"/>
                <w:i w:val="0"/>
                <w:color w:val="000000"/>
                <w:sz w:val="14"/>
              </w:rPr>
              <w:t xml:space="preserve">82,825.50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9,126,935.87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861.63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642201</w:t>
            </w:r>
          </w:p>
        </w:tc>
        <w:tc>
          <w:tcPr>
            <w:tcW w:w="1520" w:type="dxa"/>
            <w:tcBorders/>
            <w:vAlign w:val="center"/>
          </w:tcPr>
          <w:p>
            <w:pPr>
              <w:snapToGrid w:val="0"/>
              <w:jc w:val="center"/>
            </w:pPr>
            <w:r>
              <w:rPr>
                <w:rFonts w:ascii="宋体" w:eastAsia="宋体" w:hAnsi="宋体" w:cs="宋体"/>
                <w:b w:val="0"/>
                <w:i w:val="0"/>
                <w:color w:val="000000"/>
                <w:sz w:val="9"/>
              </w:rPr>
              <w:t xml:space="preserve">天津画院</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9,127,797.50</w:t>
            </w:r>
          </w:p>
        </w:tc>
        <w:tc>
          <w:tcPr>
            <w:tcW w:w="580" w:type="dxa"/>
            <w:tcBorders/>
            <w:vAlign w:val="center"/>
          </w:tcPr>
          <w:p>
            <w:pPr>
              <w:snapToGrid w:val="0"/>
              <w:jc w:val="right"/>
            </w:pPr>
            <w:r>
              <w:rPr>
                <w:rFonts w:ascii="宋体" w:eastAsia="宋体" w:hAnsi="宋体" w:cs="宋体"/>
                <w:b w:val="0"/>
                <w:i w:val="0"/>
                <w:color w:val="000000"/>
                <w:sz w:val="9"/>
              </w:rPr>
              <w:t xml:space="preserve">9,126,935.87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861.63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9,127,035.87</w:t>
            </w:r>
          </w:p>
        </w:tc>
        <w:tc>
          <w:tcPr>
            <w:tcW w:w="1320" w:type="dxa"/>
            <w:tcBorders/>
            <w:vAlign w:val="center"/>
          </w:tcPr>
          <w:p>
            <w:pPr>
              <w:snapToGrid w:val="0"/>
              <w:jc w:val="right"/>
            </w:pPr>
            <w:r>
              <w:rPr>
                <w:rFonts w:ascii="宋体" w:eastAsia="宋体" w:hAnsi="宋体" w:cs="宋体"/>
                <w:b w:val="0"/>
                <w:i w:val="0"/>
                <w:color w:val="000000"/>
                <w:sz w:val="15"/>
              </w:rPr>
              <w:t xml:space="preserve">7,146,373.37</w:t>
            </w:r>
          </w:p>
        </w:tc>
        <w:tc>
          <w:tcPr>
            <w:tcW w:w="1320" w:type="dxa"/>
            <w:tcBorders/>
            <w:vAlign w:val="center"/>
          </w:tcPr>
          <w:p>
            <w:pPr>
              <w:snapToGrid w:val="0"/>
              <w:jc w:val="right"/>
            </w:pPr>
            <w:r>
              <w:rPr>
                <w:rFonts w:ascii="宋体" w:eastAsia="宋体" w:hAnsi="宋体" w:cs="宋体"/>
                <w:b w:val="0"/>
                <w:i w:val="0"/>
                <w:color w:val="000000"/>
                <w:sz w:val="15"/>
              </w:rPr>
              <w:t xml:space="preserve">1,980,662.50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8,122,046.37</w:t>
            </w:r>
          </w:p>
        </w:tc>
        <w:tc>
          <w:tcPr>
            <w:tcW w:w="1320" w:type="dxa"/>
            <w:tcBorders/>
            <w:vAlign w:val="center"/>
          </w:tcPr>
          <w:p>
            <w:pPr>
              <w:snapToGrid w:val="0"/>
              <w:jc w:val="right"/>
            </w:pPr>
            <w:r>
              <w:rPr>
                <w:rFonts w:ascii="宋体" w:eastAsia="宋体" w:hAnsi="宋体" w:cs="宋体"/>
                <w:b w:val="0"/>
                <w:i w:val="0"/>
                <w:color w:val="000000"/>
                <w:sz w:val="15"/>
              </w:rPr>
              <w:t xml:space="preserve">6,141,383.87</w:t>
            </w:r>
          </w:p>
        </w:tc>
        <w:tc>
          <w:tcPr>
            <w:tcW w:w="1320" w:type="dxa"/>
            <w:tcBorders/>
            <w:vAlign w:val="center"/>
          </w:tcPr>
          <w:p>
            <w:pPr>
              <w:snapToGrid w:val="0"/>
              <w:jc w:val="right"/>
            </w:pPr>
            <w:r>
              <w:rPr>
                <w:rFonts w:ascii="宋体" w:eastAsia="宋体" w:hAnsi="宋体" w:cs="宋体"/>
                <w:b w:val="0"/>
                <w:i w:val="0"/>
                <w:color w:val="000000"/>
                <w:sz w:val="15"/>
              </w:rPr>
              <w:t xml:space="preserve">1,980,662.50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7,497,239.87</w:t>
            </w:r>
          </w:p>
        </w:tc>
        <w:tc>
          <w:tcPr>
            <w:tcW w:w="1320" w:type="dxa"/>
            <w:tcBorders/>
            <w:vAlign w:val="center"/>
          </w:tcPr>
          <w:p>
            <w:pPr>
              <w:snapToGrid w:val="0"/>
              <w:jc w:val="right"/>
            </w:pPr>
            <w:r>
              <w:rPr>
                <w:rFonts w:ascii="宋体" w:eastAsia="宋体" w:hAnsi="宋体" w:cs="宋体"/>
                <w:b w:val="0"/>
                <w:i w:val="0"/>
                <w:color w:val="000000"/>
                <w:sz w:val="15"/>
              </w:rPr>
              <w:t xml:space="preserve">6,141,383.87</w:t>
            </w:r>
          </w:p>
        </w:tc>
        <w:tc>
          <w:tcPr>
            <w:tcW w:w="1320" w:type="dxa"/>
            <w:tcBorders/>
            <w:vAlign w:val="center"/>
          </w:tcPr>
          <w:p>
            <w:pPr>
              <w:snapToGrid w:val="0"/>
              <w:jc w:val="right"/>
            </w:pPr>
            <w:r>
              <w:rPr>
                <w:rFonts w:ascii="宋体" w:eastAsia="宋体" w:hAnsi="宋体" w:cs="宋体"/>
                <w:b w:val="0"/>
                <w:i w:val="0"/>
                <w:color w:val="000000"/>
                <w:sz w:val="15"/>
              </w:rPr>
              <w:t xml:space="preserve">1,355,856.00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2070111</w:t>
            </w:r>
          </w:p>
        </w:tc>
        <w:tc>
          <w:tcPr>
            <w:tcW w:w="4400" w:type="dxa"/>
            <w:tcBorders/>
            <w:vAlign w:val="center"/>
          </w:tcPr>
          <w:p>
            <w:pPr>
              <w:snapToGrid w:val="0"/>
              <w:jc w:val="left"/>
            </w:pPr>
            <w:r>
              <w:rPr>
                <w:rFonts w:ascii="宋体" w:eastAsia="宋体" w:hAnsi="宋体" w:cs="宋体"/>
                <w:b w:val="0"/>
                <w:i w:val="0"/>
                <w:color w:val="000000"/>
                <w:sz w:val="15"/>
              </w:rPr>
              <w:t xml:space="preserve">文化创作与保护</w:t>
            </w:r>
          </w:p>
        </w:tc>
        <w:tc>
          <w:tcPr>
            <w:tcW w:w="1320" w:type="dxa"/>
            <w:tcBorders/>
            <w:vAlign w:val="center"/>
          </w:tcPr>
          <w:p>
            <w:pPr>
              <w:snapToGrid w:val="0"/>
              <w:jc w:val="right"/>
            </w:pPr>
            <w:r>
              <w:rPr>
                <w:rFonts w:ascii="宋体" w:eastAsia="宋体" w:hAnsi="宋体" w:cs="宋体"/>
                <w:b w:val="0"/>
                <w:i w:val="0"/>
                <w:color w:val="000000"/>
                <w:sz w:val="15"/>
              </w:rPr>
              <w:t xml:space="preserve">7,497,239.87</w:t>
            </w:r>
          </w:p>
        </w:tc>
        <w:tc>
          <w:tcPr>
            <w:tcW w:w="1320" w:type="dxa"/>
            <w:tcBorders/>
            <w:vAlign w:val="center"/>
          </w:tcPr>
          <w:p>
            <w:pPr>
              <w:snapToGrid w:val="0"/>
              <w:jc w:val="right"/>
            </w:pPr>
            <w:r>
              <w:rPr>
                <w:rFonts w:ascii="宋体" w:eastAsia="宋体" w:hAnsi="宋体" w:cs="宋体"/>
                <w:b w:val="0"/>
                <w:i w:val="0"/>
                <w:color w:val="000000"/>
                <w:sz w:val="15"/>
              </w:rPr>
              <w:t xml:space="preserve">6,141,383.87</w:t>
            </w:r>
          </w:p>
        </w:tc>
        <w:tc>
          <w:tcPr>
            <w:tcW w:w="1320" w:type="dxa"/>
            <w:tcBorders/>
            <w:vAlign w:val="center"/>
          </w:tcPr>
          <w:p>
            <w:pPr>
              <w:snapToGrid w:val="0"/>
              <w:jc w:val="right"/>
            </w:pPr>
            <w:r>
              <w:rPr>
                <w:rFonts w:ascii="宋体" w:eastAsia="宋体" w:hAnsi="宋体" w:cs="宋体"/>
                <w:b w:val="0"/>
                <w:i w:val="0"/>
                <w:color w:val="000000"/>
                <w:sz w:val="15"/>
              </w:rPr>
              <w:t xml:space="preserve">1,355,856.00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624,806.50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snapToGrid w:val="0"/>
              <w:jc w:val="right"/>
            </w:pPr>
            <w:r>
              <w:rPr>
                <w:rFonts w:ascii="宋体" w:eastAsia="宋体" w:hAnsi="宋体" w:cs="宋体"/>
                <w:b w:val="0"/>
                <w:i w:val="0"/>
                <w:color w:val="000000"/>
                <w:sz w:val="15"/>
              </w:rPr>
              <w:t xml:space="preserve">632,164.00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400,164.00</w:t>
            </w:r>
          </w:p>
        </w:tc>
        <w:tc>
          <w:tcPr>
            <w:tcW w:w="1320" w:type="dxa"/>
            <w:tcBorders/>
            <w:vAlign w:val="center"/>
          </w:tcPr>
          <w:p>
            <w:pPr>
              <w:snapToGrid w:val="0"/>
              <w:jc w:val="right"/>
            </w:pPr>
            <w:r>
              <w:rPr>
                <w:rFonts w:ascii="宋体" w:eastAsia="宋体" w:hAnsi="宋体" w:cs="宋体"/>
                <w:b w:val="0"/>
                <w:i w:val="0"/>
                <w:color w:val="000000"/>
                <w:sz w:val="15"/>
              </w:rPr>
              <w:t xml:space="preserve">400,164.00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232,000.00</w:t>
            </w:r>
          </w:p>
        </w:tc>
        <w:tc>
          <w:tcPr>
            <w:tcW w:w="1320" w:type="dxa"/>
            <w:tcBorders/>
            <w:vAlign w:val="center"/>
          </w:tcPr>
          <w:p>
            <w:pPr>
              <w:snapToGrid w:val="0"/>
              <w:jc w:val="right"/>
            </w:pPr>
            <w:r>
              <w:rPr>
                <w:rFonts w:ascii="宋体" w:eastAsia="宋体" w:hAnsi="宋体" w:cs="宋体"/>
                <w:b w:val="0"/>
                <w:i w:val="0"/>
                <w:color w:val="000000"/>
                <w:sz w:val="15"/>
              </w:rPr>
              <w:t xml:space="preserve">232,000.00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snapToGrid w:val="0"/>
              <w:jc w:val="right"/>
            </w:pPr>
            <w:r>
              <w:rPr>
                <w:rFonts w:ascii="宋体" w:eastAsia="宋体" w:hAnsi="宋体" w:cs="宋体"/>
                <w:b w:val="0"/>
                <w:i w:val="0"/>
                <w:color w:val="000000"/>
                <w:sz w:val="15"/>
              </w:rPr>
              <w:t xml:space="preserve">372,825.50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290,000.00</w:t>
            </w:r>
          </w:p>
        </w:tc>
        <w:tc>
          <w:tcPr>
            <w:tcW w:w="1320" w:type="dxa"/>
            <w:tcBorders/>
            <w:vAlign w:val="center"/>
          </w:tcPr>
          <w:p>
            <w:pPr>
              <w:snapToGrid w:val="0"/>
              <w:jc w:val="right"/>
            </w:pPr>
            <w:r>
              <w:rPr>
                <w:rFonts w:ascii="宋体" w:eastAsia="宋体" w:hAnsi="宋体" w:cs="宋体"/>
                <w:b w:val="0"/>
                <w:i w:val="0"/>
                <w:color w:val="000000"/>
                <w:sz w:val="15"/>
              </w:rPr>
              <w:t xml:space="preserve">290,000.00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82,825.50</w:t>
            </w:r>
          </w:p>
        </w:tc>
        <w:tc>
          <w:tcPr>
            <w:tcW w:w="1320" w:type="dxa"/>
            <w:tcBorders/>
            <w:vAlign w:val="center"/>
          </w:tcPr>
          <w:p>
            <w:pPr>
              <w:snapToGrid w:val="0"/>
              <w:jc w:val="right"/>
            </w:pPr>
            <w:r>
              <w:rPr>
                <w:rFonts w:ascii="宋体" w:eastAsia="宋体" w:hAnsi="宋体" w:cs="宋体"/>
                <w:b w:val="0"/>
                <w:i w:val="0"/>
                <w:color w:val="000000"/>
                <w:sz w:val="15"/>
              </w:rPr>
              <w:t xml:space="preserve">82,825.50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8,121,946.37</w:t>
            </w:r>
          </w:p>
        </w:tc>
        <w:tc>
          <w:tcPr>
            <w:tcW w:w="1420" w:type="dxa"/>
            <w:tcBorders/>
            <w:vAlign w:val="center"/>
          </w:tcPr>
          <w:p>
            <w:pPr>
              <w:snapToGrid w:val="0"/>
              <w:jc w:val="right"/>
            </w:pPr>
            <w:r>
              <w:rPr>
                <w:rFonts w:ascii="宋体" w:eastAsia="宋体" w:hAnsi="宋体" w:cs="宋体"/>
                <w:b w:val="0"/>
                <w:i w:val="0"/>
                <w:color w:val="000000"/>
                <w:sz w:val="16"/>
              </w:rPr>
              <w:t xml:space="preserve">8,121,946.37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632,164.00</w:t>
            </w:r>
          </w:p>
        </w:tc>
        <w:tc>
          <w:tcPr>
            <w:tcW w:w="1420" w:type="dxa"/>
            <w:tcBorders/>
            <w:vAlign w:val="center"/>
          </w:tcPr>
          <w:p>
            <w:pPr>
              <w:snapToGrid w:val="0"/>
              <w:jc w:val="right"/>
            </w:pPr>
            <w:r>
              <w:rPr>
                <w:rFonts w:ascii="宋体" w:eastAsia="宋体" w:hAnsi="宋体" w:cs="宋体"/>
                <w:b w:val="0"/>
                <w:i w:val="0"/>
                <w:color w:val="000000"/>
                <w:sz w:val="16"/>
              </w:rPr>
              <w:t xml:space="preserve">632,164.00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372,825.50</w:t>
            </w:r>
          </w:p>
        </w:tc>
        <w:tc>
          <w:tcPr>
            <w:tcW w:w="1420" w:type="dxa"/>
            <w:tcBorders/>
            <w:vAlign w:val="center"/>
          </w:tcPr>
          <w:p>
            <w:pPr>
              <w:snapToGrid w:val="0"/>
              <w:jc w:val="right"/>
            </w:pPr>
            <w:r>
              <w:rPr>
                <w:rFonts w:ascii="宋体" w:eastAsia="宋体" w:hAnsi="宋体" w:cs="宋体"/>
                <w:b w:val="0"/>
                <w:i w:val="0"/>
                <w:color w:val="000000"/>
                <w:sz w:val="16"/>
              </w:rPr>
              <w:t xml:space="preserve">372,825.50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snapToGrid w:val="0"/>
              <w:jc w:val="right"/>
            </w:pPr>
            <w:r>
              <w:rPr>
                <w:rFonts w:ascii="宋体" w:eastAsia="宋体" w:hAnsi="宋体" w:cs="宋体"/>
                <w:b w:val="0"/>
                <w:i w:val="0"/>
                <w:color w:val="000000"/>
                <w:sz w:val="16"/>
              </w:rPr>
              <w:t xml:space="preserve">9,126,935.87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9,126,935.87</w:t>
            </w:r>
          </w:p>
        </w:tc>
        <w:tc>
          <w:tcPr>
            <w:tcW w:w="1720" w:type="dxa"/>
            <w:tcBorders/>
            <w:vAlign w:val="center"/>
          </w:tcPr>
          <w:p>
            <w:pPr>
              <w:snapToGrid w:val="0"/>
              <w:jc w:val="right"/>
            </w:pPr>
            <w:r>
              <w:rPr>
                <w:rFonts w:ascii="宋体" w:eastAsia="宋体" w:hAnsi="宋体" w:cs="宋体"/>
                <w:b w:val="0"/>
                <w:i w:val="0"/>
                <w:color w:val="000000"/>
                <w:sz w:val="20"/>
              </w:rPr>
              <w:t xml:space="preserve">7,146,273.37</w:t>
            </w:r>
          </w:p>
        </w:tc>
        <w:tc>
          <w:tcPr>
            <w:tcW w:w="1720" w:type="dxa"/>
            <w:tcBorders/>
            <w:vAlign w:val="center"/>
          </w:tcPr>
          <w:p>
            <w:pPr>
              <w:snapToGrid w:val="0"/>
              <w:jc w:val="right"/>
            </w:pPr>
            <w:r>
              <w:rPr>
                <w:rFonts w:ascii="宋体" w:eastAsia="宋体" w:hAnsi="宋体" w:cs="宋体"/>
                <w:b w:val="0"/>
                <w:i w:val="0"/>
                <w:color w:val="000000"/>
                <w:sz w:val="20"/>
              </w:rPr>
              <w:t xml:space="preserve">6,487,273.37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1,980,662.50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8,121,946.37</w:t>
            </w:r>
          </w:p>
        </w:tc>
        <w:tc>
          <w:tcPr>
            <w:tcW w:w="1720" w:type="dxa"/>
            <w:tcBorders/>
            <w:vAlign w:val="center"/>
          </w:tcPr>
          <w:p>
            <w:pPr>
              <w:snapToGrid w:val="0"/>
              <w:jc w:val="right"/>
            </w:pPr>
            <w:r>
              <w:rPr>
                <w:rFonts w:ascii="宋体" w:eastAsia="宋体" w:hAnsi="宋体" w:cs="宋体"/>
                <w:b w:val="0"/>
                <w:i w:val="0"/>
                <w:color w:val="000000"/>
                <w:sz w:val="20"/>
              </w:rPr>
              <w:t xml:space="preserve">6,141,283.87</w:t>
            </w:r>
          </w:p>
        </w:tc>
        <w:tc>
          <w:tcPr>
            <w:tcW w:w="1720" w:type="dxa"/>
            <w:tcBorders/>
            <w:vAlign w:val="center"/>
          </w:tcPr>
          <w:p>
            <w:pPr>
              <w:snapToGrid w:val="0"/>
              <w:jc w:val="right"/>
            </w:pPr>
            <w:r>
              <w:rPr>
                <w:rFonts w:ascii="宋体" w:eastAsia="宋体" w:hAnsi="宋体" w:cs="宋体"/>
                <w:b w:val="0"/>
                <w:i w:val="0"/>
                <w:color w:val="000000"/>
                <w:sz w:val="20"/>
              </w:rPr>
              <w:t xml:space="preserve">5,482,283.87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1,980,662.50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w:t>
            </w:r>
          </w:p>
        </w:tc>
        <w:tc>
          <w:tcPr>
            <w:tcW w:w="3480" w:type="dxa"/>
            <w:tcBorders/>
            <w:vAlign w:val="center"/>
          </w:tcPr>
          <w:p>
            <w:pPr>
              <w:snapToGrid w:val="0"/>
              <w:jc w:val="left"/>
            </w:pPr>
            <w:r>
              <w:rPr>
                <w:rFonts w:ascii="宋体" w:eastAsia="宋体" w:hAnsi="宋体" w:cs="宋体"/>
                <w:b w:val="0"/>
                <w:i w:val="0"/>
                <w:color w:val="000000"/>
                <w:sz w:val="20"/>
              </w:rPr>
              <w:t xml:space="preserve">文化和旅游</w:t>
            </w:r>
          </w:p>
        </w:tc>
        <w:tc>
          <w:tcPr>
            <w:tcW w:w="1720" w:type="dxa"/>
            <w:tcBorders/>
            <w:vAlign w:val="center"/>
          </w:tcPr>
          <w:p>
            <w:pPr>
              <w:snapToGrid w:val="0"/>
              <w:jc w:val="right"/>
            </w:pPr>
            <w:r>
              <w:rPr>
                <w:rFonts w:ascii="宋体" w:eastAsia="宋体" w:hAnsi="宋体" w:cs="宋体"/>
                <w:b w:val="0"/>
                <w:i w:val="0"/>
                <w:color w:val="000000"/>
                <w:sz w:val="20"/>
              </w:rPr>
              <w:t xml:space="preserve">7,497,139.87</w:t>
            </w:r>
          </w:p>
        </w:tc>
        <w:tc>
          <w:tcPr>
            <w:tcW w:w="1720" w:type="dxa"/>
            <w:tcBorders/>
            <w:vAlign w:val="center"/>
          </w:tcPr>
          <w:p>
            <w:pPr>
              <w:snapToGrid w:val="0"/>
              <w:jc w:val="right"/>
            </w:pPr>
            <w:r>
              <w:rPr>
                <w:rFonts w:ascii="宋体" w:eastAsia="宋体" w:hAnsi="宋体" w:cs="宋体"/>
                <w:b w:val="0"/>
                <w:i w:val="0"/>
                <w:color w:val="000000"/>
                <w:sz w:val="20"/>
              </w:rPr>
              <w:t xml:space="preserve">6,141,283.87</w:t>
            </w:r>
          </w:p>
        </w:tc>
        <w:tc>
          <w:tcPr>
            <w:tcW w:w="1720" w:type="dxa"/>
            <w:tcBorders/>
            <w:vAlign w:val="center"/>
          </w:tcPr>
          <w:p>
            <w:pPr>
              <w:snapToGrid w:val="0"/>
              <w:jc w:val="right"/>
            </w:pPr>
            <w:r>
              <w:rPr>
                <w:rFonts w:ascii="宋体" w:eastAsia="宋体" w:hAnsi="宋体" w:cs="宋体"/>
                <w:b w:val="0"/>
                <w:i w:val="0"/>
                <w:color w:val="000000"/>
                <w:sz w:val="20"/>
              </w:rPr>
              <w:t xml:space="preserve">5,482,283.87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1,355,856.00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2070111</w:t>
            </w:r>
          </w:p>
        </w:tc>
        <w:tc>
          <w:tcPr>
            <w:tcW w:w="3480" w:type="dxa"/>
            <w:tcBorders/>
            <w:vAlign w:val="center"/>
          </w:tcPr>
          <w:p>
            <w:pPr>
              <w:snapToGrid w:val="0"/>
              <w:jc w:val="left"/>
            </w:pPr>
            <w:r>
              <w:rPr>
                <w:rFonts w:ascii="宋体" w:eastAsia="宋体" w:hAnsi="宋体" w:cs="宋体"/>
                <w:b w:val="0"/>
                <w:i w:val="0"/>
                <w:color w:val="000000"/>
                <w:sz w:val="20"/>
              </w:rPr>
              <w:t xml:space="preserve">文化创作与保护</w:t>
            </w:r>
          </w:p>
        </w:tc>
        <w:tc>
          <w:tcPr>
            <w:tcW w:w="1720" w:type="dxa"/>
            <w:tcBorders/>
            <w:vAlign w:val="center"/>
          </w:tcPr>
          <w:p>
            <w:pPr>
              <w:snapToGrid w:val="0"/>
              <w:jc w:val="right"/>
            </w:pPr>
            <w:r>
              <w:rPr>
                <w:rFonts w:ascii="宋体" w:eastAsia="宋体" w:hAnsi="宋体" w:cs="宋体"/>
                <w:b w:val="0"/>
                <w:i w:val="0"/>
                <w:color w:val="000000"/>
                <w:sz w:val="20"/>
              </w:rPr>
              <w:t xml:space="preserve">7,497,139.87</w:t>
            </w:r>
          </w:p>
        </w:tc>
        <w:tc>
          <w:tcPr>
            <w:tcW w:w="1720" w:type="dxa"/>
            <w:tcBorders/>
            <w:vAlign w:val="center"/>
          </w:tcPr>
          <w:p>
            <w:pPr>
              <w:snapToGrid w:val="0"/>
              <w:jc w:val="right"/>
            </w:pPr>
            <w:r>
              <w:rPr>
                <w:rFonts w:ascii="宋体" w:eastAsia="宋体" w:hAnsi="宋体" w:cs="宋体"/>
                <w:b w:val="0"/>
                <w:i w:val="0"/>
                <w:color w:val="000000"/>
                <w:sz w:val="20"/>
              </w:rPr>
              <w:t xml:space="preserve">6,141,283.87</w:t>
            </w:r>
          </w:p>
        </w:tc>
        <w:tc>
          <w:tcPr>
            <w:tcW w:w="1720" w:type="dxa"/>
            <w:tcBorders/>
            <w:vAlign w:val="center"/>
          </w:tcPr>
          <w:p>
            <w:pPr>
              <w:snapToGrid w:val="0"/>
              <w:jc w:val="right"/>
            </w:pPr>
            <w:r>
              <w:rPr>
                <w:rFonts w:ascii="宋体" w:eastAsia="宋体" w:hAnsi="宋体" w:cs="宋体"/>
                <w:b w:val="0"/>
                <w:i w:val="0"/>
                <w:color w:val="000000"/>
                <w:sz w:val="20"/>
              </w:rPr>
              <w:t xml:space="preserve">5,482,283.87</w:t>
            </w:r>
          </w:p>
        </w:tc>
        <w:tc>
          <w:tcPr>
            <w:tcW w:w="1720" w:type="dxa"/>
            <w:tcBorders/>
            <w:vAlign w:val="center"/>
          </w:tcPr>
          <w:p>
            <w:pPr>
              <w:snapToGrid w:val="0"/>
              <w:jc w:val="right"/>
            </w:pPr>
            <w:r>
              <w:rPr>
                <w:rFonts w:ascii="宋体" w:eastAsia="宋体" w:hAnsi="宋体" w:cs="宋体"/>
                <w:b w:val="0"/>
                <w:i w:val="0"/>
                <w:color w:val="000000"/>
                <w:sz w:val="20"/>
              </w:rPr>
              <w:t xml:space="preserve">659,000.00</w:t>
            </w:r>
          </w:p>
        </w:tc>
        <w:tc>
          <w:tcPr>
            <w:tcW w:w="1698" w:type="dxa"/>
            <w:tcBorders/>
            <w:vAlign w:val="center"/>
          </w:tcPr>
          <w:p>
            <w:pPr>
              <w:snapToGrid w:val="0"/>
              <w:jc w:val="right"/>
            </w:pPr>
            <w:r>
              <w:rPr>
                <w:rFonts w:ascii="宋体" w:eastAsia="宋体" w:hAnsi="宋体" w:cs="宋体"/>
                <w:b w:val="0"/>
                <w:i w:val="0"/>
                <w:color w:val="000000"/>
                <w:sz w:val="20"/>
              </w:rPr>
              <w:t xml:space="preserve">1,355,856.00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624,806.50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624,806.50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624,806.50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624,806.50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snapToGrid w:val="0"/>
              <w:jc w:val="right"/>
            </w:pPr>
            <w:r>
              <w:rPr>
                <w:rFonts w:ascii="宋体" w:eastAsia="宋体" w:hAnsi="宋体" w:cs="宋体"/>
                <w:b w:val="0"/>
                <w:i w:val="0"/>
                <w:color w:val="000000"/>
                <w:sz w:val="20"/>
              </w:rPr>
              <w:t xml:space="preserve">632,164.00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400,164.00</w:t>
            </w:r>
          </w:p>
        </w:tc>
        <w:tc>
          <w:tcPr>
            <w:tcW w:w="1720" w:type="dxa"/>
            <w:tcBorders/>
            <w:vAlign w:val="center"/>
          </w:tcPr>
          <w:p>
            <w:pPr>
              <w:snapToGrid w:val="0"/>
              <w:jc w:val="right"/>
            </w:pPr>
            <w:r>
              <w:rPr>
                <w:rFonts w:ascii="宋体" w:eastAsia="宋体" w:hAnsi="宋体" w:cs="宋体"/>
                <w:b w:val="0"/>
                <w:i w:val="0"/>
                <w:color w:val="000000"/>
                <w:sz w:val="20"/>
              </w:rPr>
              <w:t xml:space="preserve">400,164.00</w:t>
            </w:r>
          </w:p>
        </w:tc>
        <w:tc>
          <w:tcPr>
            <w:tcW w:w="1720" w:type="dxa"/>
            <w:tcBorders/>
            <w:vAlign w:val="center"/>
          </w:tcPr>
          <w:p>
            <w:pPr>
              <w:snapToGrid w:val="0"/>
              <w:jc w:val="right"/>
            </w:pPr>
            <w:r>
              <w:rPr>
                <w:rFonts w:ascii="宋体" w:eastAsia="宋体" w:hAnsi="宋体" w:cs="宋体"/>
                <w:b w:val="0"/>
                <w:i w:val="0"/>
                <w:color w:val="000000"/>
                <w:sz w:val="20"/>
              </w:rPr>
              <w:t xml:space="preserve">400,164.00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232,000.00</w:t>
            </w:r>
          </w:p>
        </w:tc>
        <w:tc>
          <w:tcPr>
            <w:tcW w:w="1720" w:type="dxa"/>
            <w:tcBorders/>
            <w:vAlign w:val="center"/>
          </w:tcPr>
          <w:p>
            <w:pPr>
              <w:snapToGrid w:val="0"/>
              <w:jc w:val="right"/>
            </w:pPr>
            <w:r>
              <w:rPr>
                <w:rFonts w:ascii="宋体" w:eastAsia="宋体" w:hAnsi="宋体" w:cs="宋体"/>
                <w:b w:val="0"/>
                <w:i w:val="0"/>
                <w:color w:val="000000"/>
                <w:sz w:val="20"/>
              </w:rPr>
              <w:t xml:space="preserve">232,000.00</w:t>
            </w:r>
          </w:p>
        </w:tc>
        <w:tc>
          <w:tcPr>
            <w:tcW w:w="1720" w:type="dxa"/>
            <w:tcBorders/>
            <w:vAlign w:val="center"/>
          </w:tcPr>
          <w:p>
            <w:pPr>
              <w:snapToGrid w:val="0"/>
              <w:jc w:val="right"/>
            </w:pPr>
            <w:r>
              <w:rPr>
                <w:rFonts w:ascii="宋体" w:eastAsia="宋体" w:hAnsi="宋体" w:cs="宋体"/>
                <w:b w:val="0"/>
                <w:i w:val="0"/>
                <w:color w:val="000000"/>
                <w:sz w:val="20"/>
              </w:rPr>
              <w:t xml:space="preserve">232,000.00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snapToGrid w:val="0"/>
              <w:jc w:val="right"/>
            </w:pPr>
            <w:r>
              <w:rPr>
                <w:rFonts w:ascii="宋体" w:eastAsia="宋体" w:hAnsi="宋体" w:cs="宋体"/>
                <w:b w:val="0"/>
                <w:i w:val="0"/>
                <w:color w:val="000000"/>
                <w:sz w:val="20"/>
              </w:rPr>
              <w:t xml:space="preserve">372,825.50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290,000.00</w:t>
            </w:r>
          </w:p>
        </w:tc>
        <w:tc>
          <w:tcPr>
            <w:tcW w:w="1720" w:type="dxa"/>
            <w:tcBorders/>
            <w:vAlign w:val="center"/>
          </w:tcPr>
          <w:p>
            <w:pPr>
              <w:snapToGrid w:val="0"/>
              <w:jc w:val="right"/>
            </w:pPr>
            <w:r>
              <w:rPr>
                <w:rFonts w:ascii="宋体" w:eastAsia="宋体" w:hAnsi="宋体" w:cs="宋体"/>
                <w:b w:val="0"/>
                <w:i w:val="0"/>
                <w:color w:val="000000"/>
                <w:sz w:val="20"/>
              </w:rPr>
              <w:t xml:space="preserve">290,000.00</w:t>
            </w:r>
          </w:p>
        </w:tc>
        <w:tc>
          <w:tcPr>
            <w:tcW w:w="1720" w:type="dxa"/>
            <w:tcBorders/>
            <w:vAlign w:val="center"/>
          </w:tcPr>
          <w:p>
            <w:pPr>
              <w:snapToGrid w:val="0"/>
              <w:jc w:val="right"/>
            </w:pPr>
            <w:r>
              <w:rPr>
                <w:rFonts w:ascii="宋体" w:eastAsia="宋体" w:hAnsi="宋体" w:cs="宋体"/>
                <w:b w:val="0"/>
                <w:i w:val="0"/>
                <w:color w:val="000000"/>
                <w:sz w:val="20"/>
              </w:rPr>
              <w:t xml:space="preserve">290,000.00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82,825.50</w:t>
            </w:r>
          </w:p>
        </w:tc>
        <w:tc>
          <w:tcPr>
            <w:tcW w:w="1720" w:type="dxa"/>
            <w:tcBorders/>
            <w:vAlign w:val="center"/>
          </w:tcPr>
          <w:p>
            <w:pPr>
              <w:snapToGrid w:val="0"/>
              <w:jc w:val="right"/>
            </w:pPr>
            <w:r>
              <w:rPr>
                <w:rFonts w:ascii="宋体" w:eastAsia="宋体" w:hAnsi="宋体" w:cs="宋体"/>
                <w:b w:val="0"/>
                <w:i w:val="0"/>
                <w:color w:val="000000"/>
                <w:sz w:val="20"/>
              </w:rPr>
              <w:t xml:space="preserve">82,825.50</w:t>
            </w:r>
          </w:p>
        </w:tc>
        <w:tc>
          <w:tcPr>
            <w:tcW w:w="1720" w:type="dxa"/>
            <w:tcBorders/>
            <w:vAlign w:val="center"/>
          </w:tcPr>
          <w:p>
            <w:pPr>
              <w:snapToGrid w:val="0"/>
              <w:jc w:val="right"/>
            </w:pPr>
            <w:r>
              <w:rPr>
                <w:rFonts w:ascii="宋体" w:eastAsia="宋体" w:hAnsi="宋体" w:cs="宋体"/>
                <w:b w:val="0"/>
                <w:i w:val="0"/>
                <w:color w:val="000000"/>
                <w:sz w:val="20"/>
              </w:rPr>
              <w:t xml:space="preserve">82,825.50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6,328,307.87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658,353.62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1,386,536.84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42,310.14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756,229.70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646.38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646.38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1,436,804.00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18,683.50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400,164.00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201,316.50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32,800.00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290,000.00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199,806.52</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85,094.58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5,032.50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1,482,984.00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29,108.36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228,494.75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158,965.50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2,260.00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158,965.50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58,400.00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4,195.80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53,040.00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6,400.30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6,487,273.37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659,000.00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1972277765"/>
      <w:bookmarkStart w:id="28" w:name="_Toc1059543692"/>
      <w:bookmarkStart w:id="29" w:name="_Toc1972776439"/>
      <w:bookmarkStart w:id="30" w:name="_Toc2050619938"/>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天津画院2024年度政府性基金预算财政拨款收入支出决算表为空表。</w:t>
      </w:r>
      <w:bookmarkStart w:id="31" w:name="_Toc1662304910"/>
      <w:bookmarkStart w:id="32" w:name="_Toc1951730910"/>
      <w:bookmarkStart w:id="33" w:name="_Toc81643052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天津画院2024年国有资本经营预算财政拨款收入支出决算表为空表。</w:t>
      </w:r>
      <w:bookmarkStart w:id="35" w:name="_Toc1474728957"/>
      <w:bookmarkStart w:id="36" w:name="_Toc1743858547"/>
      <w:bookmarkStart w:id="37" w:name="_Toc2076180092"/>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snapToGrid w:val="0"/>
              <w:jc w:val="right"/>
            </w:pPr>
            <w:r>
              <w:rPr>
                <w:rFonts w:ascii="宋体" w:eastAsia="宋体" w:hAnsi="宋体" w:cs="宋体"/>
                <w:b w:val="0"/>
                <w:i w:val="0"/>
                <w:color w:val="000000"/>
                <w:sz w:val="16"/>
              </w:rPr>
              <w:t xml:space="preserve">1,980,662.50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w:t>
            </w:r>
          </w:p>
        </w:tc>
        <w:tc>
          <w:tcPr>
            <w:tcW w:w="3980" w:type="dxa"/>
            <w:tcBorders/>
            <w:vAlign w:val="center"/>
          </w:tcPr>
          <w:p>
            <w:pPr>
              <w:snapToGrid w:val="0"/>
              <w:jc w:val="left"/>
            </w:pPr>
            <w:r>
              <w:rPr>
                <w:rFonts w:ascii="宋体" w:eastAsia="宋体" w:hAnsi="宋体" w:cs="宋体"/>
                <w:b w:val="0"/>
                <w:i w:val="0"/>
                <w:color w:val="000000"/>
                <w:sz w:val="16"/>
              </w:rPr>
              <w:t xml:space="preserve">文化和旅游</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2070111</w:t>
            </w:r>
          </w:p>
        </w:tc>
        <w:tc>
          <w:tcPr>
            <w:tcW w:w="3980" w:type="dxa"/>
            <w:tcBorders/>
            <w:vAlign w:val="center"/>
          </w:tcPr>
          <w:p>
            <w:pPr>
              <w:snapToGrid w:val="0"/>
              <w:jc w:val="left"/>
            </w:pPr>
            <w:r>
              <w:rPr>
                <w:rFonts w:ascii="宋体" w:eastAsia="宋体" w:hAnsi="宋体" w:cs="宋体"/>
                <w:b w:val="0"/>
                <w:i w:val="0"/>
                <w:color w:val="000000"/>
                <w:sz w:val="16"/>
              </w:rPr>
              <w:t xml:space="preserve">文化创作与保护</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snapToGrid w:val="0"/>
              <w:jc w:val="right"/>
            </w:pPr>
            <w:r>
              <w:rPr>
                <w:rFonts w:ascii="宋体" w:eastAsia="宋体" w:hAnsi="宋体" w:cs="宋体"/>
                <w:b w:val="0"/>
                <w:i w:val="0"/>
                <w:color w:val="000000"/>
                <w:sz w:val="16"/>
              </w:rPr>
              <w:t xml:space="preserve">1,355,856.00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2079902</w:t>
            </w:r>
          </w:p>
        </w:tc>
        <w:tc>
          <w:tcPr>
            <w:tcW w:w="398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snapToGrid w:val="0"/>
              <w:jc w:val="right"/>
            </w:pPr>
            <w:r>
              <w:rPr>
                <w:rFonts w:ascii="宋体" w:eastAsia="宋体" w:hAnsi="宋体" w:cs="宋体"/>
                <w:b w:val="0"/>
                <w:i w:val="0"/>
                <w:color w:val="000000"/>
                <w:sz w:val="16"/>
              </w:rPr>
              <w:t xml:space="preserve">624,806.50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1512537805"/>
      <w:bookmarkStart w:id="48" w:name="_Toc752851347"/>
      <w:bookmarkStart w:id="49" w:name="_Toc576593978"/>
      <w:bookmarkStart w:id="50" w:name="_Toc940268779"/>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9,127,797.50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增加181,893.58元，增长2.030%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增加了时代·芳华——天津画院庆祝新中国成立75周年美术作品晋京展项目</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一般公共预算财政拨款收入9,126,935.87元、其他收入861.63元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文化旅游体育与传媒支出8,122,046.37元、社会保障和就业支出632,164.00元、卫生健康支出372,825.50元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98940905"/>
      <w:bookmarkStart w:id="52" w:name="_Toc1912694027"/>
      <w:bookmarkStart w:id="53" w:name="_Toc1458959096"/>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9,127,797.50</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增加181,893.58元，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增加了时代·芳华——天津画院庆祝新中国成立75周年美术作品晋京展项目</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一般公共预算财政拨款收入9,126,935.87元，占99.991%；其他收入861.63元，占0.009%</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965799846"/>
      <w:bookmarkStart w:id="56" w:name="_Toc1122681810"/>
      <w:bookmarkStart w:id="57" w:name="_Toc2115235603"/>
      <w:bookmarkStart w:id="58" w:name="_Toc75724502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9,127,035.87</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增加181,701.01元，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增加了时代·芳华——天津画院庆祝新中国成立75周年美术作品晋京展项目</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基本支出7,146,373.37元，占78.299%；项目支出1,980,662.50元，占21.701%</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320487183"/>
      <w:bookmarkStart w:id="60" w:name="_Toc1516607696"/>
      <w:bookmarkStart w:id="61" w:name="_Toc1029059860"/>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9,126,935.87</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增加181,701.01元，增长2.031%，</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增加了时代·芳华——天津画院庆祝新中国成立75周年美术作品晋京展项目</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一般公共预算财政拨款9,126,935.87元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文化旅游体育与传媒支出8,121,946.37元、社会保障和就业支出632,164.00元、卫生健康支出372,825.50元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63136636"/>
      <w:bookmarkStart w:id="64" w:name="_Toc1332076583"/>
      <w:bookmarkStart w:id="65" w:name="_Toc1723257729"/>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天津画院2024年度部门决算一般公共预算财政拨款支出合计9,126,935.87元，占本年支出合计的99.999%。与2023年度相比，一般公共预算财政拨款支出</w:t>
      </w:r>
      <w:r>
        <w:rPr>
          <w:rFonts w:eastAsia="仿宋_GB2312" w:hint="eastAsia"/>
          <w:sz w:val="30"/>
          <w:szCs w:val="30"/>
          <w:highlight w:val="none"/>
          <w:u w:val="none"/>
          <w:lang w:val="en-US" w:eastAsia="zh-CN"/>
        </w:rPr>
        <w:t xml:space="preserve">增加181,701.01元</w:t>
      </w:r>
      <w:r>
        <w:rPr>
          <w:rFonts w:eastAsia="仿宋_GB2312" w:hint="eastAsia"/>
          <w:sz w:val="30"/>
          <w:szCs w:val="30"/>
          <w:highlight w:val="none"/>
          <w:u w:val="none"/>
          <w:lang w:val="en-US" w:eastAsia="zh-CN"/>
        </w:rPr>
        <w:t xml:space="preserve">，增长2.031%</w:t>
      </w:r>
      <w:r>
        <w:rPr>
          <w:rFonts w:eastAsia="仿宋_GB2312" w:hint="eastAsia"/>
          <w:sz w:val="30"/>
          <w:szCs w:val="30"/>
          <w:highlight w:val="none"/>
          <w:u w:val="none"/>
          <w:lang w:val="en-US" w:eastAsia="zh-CN"/>
        </w:rPr>
        <w:t xml:space="preserve">，主要原因是增加了时代·芳华——天津画院庆祝新中国成立75周年美术作品晋京展项目。</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2024年度一般公共预算财政拨款支出9,126,935.87元，主要用于以下方面：</w:t>
      </w:r>
      <w:r>
        <w:rPr>
          <w:rFonts w:eastAsia="仿宋_GB2312" w:hint="eastAsia"/>
          <w:sz w:val="30"/>
          <w:szCs w:val="30"/>
          <w:highlight w:val="none"/>
          <w:u w:val="none"/>
          <w:lang w:val="en-US" w:eastAsia="zh-CN"/>
        </w:rPr>
        <w:t xml:space="preserve">文化旅游体育与传媒支出（类）支出8,121,946.37元，占88.989%,社会保障和就业支出（类）支出632,164.00元，占6.926%,卫生健康支出（类）支出372,825.50元，占4.085%</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2024年度一般公共预算财政拨款支出年初预算为9,272,000.00元，支出决算为9,126,935.87元</w:t>
      </w:r>
      <w:r>
        <w:rPr>
          <w:rFonts w:eastAsia="仿宋_GB2312" w:hint="eastAsia"/>
          <w:sz w:val="30"/>
          <w:szCs w:val="30"/>
          <w:highlight w:val="none"/>
          <w:u w:val="none"/>
          <w:lang w:val="en-US" w:eastAsia="zh-CN"/>
        </w:rPr>
        <w:t xml:space="preserve">，完成年初预算的98.435%</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1.文化旅游体育与传媒支出（类）文化和旅游（款）文化创作与保护（项）年初预算为7,489,000.00元，支出决算为7,497,139.87元，完成年初预算的100.109%，决算数大于预算数的主要原因是：增加了抚恤金项目。</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文化旅游体育与传媒支出（类）其他文化旅游体育与传媒支出（款）宣传文化发展专项支出（项）年初预算为700,000.00元，支出决算为624,806.50元，完成年初预算的89.258%，决算数小于预算数的主要原因是：落实过紧日子的要求，压缩时代·芳华——天津画院庆祝新中国成立75周年美术作品晋京展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社会保障和就业支出（类）行政事业单位养老支出（款）机关事业单位基本养老保险缴费支出（项）年初预算为464,000.00元，支出决算为400,164.00元，完成年初预算的86.242%，决算数小于预算数的主要原因是：在职人员退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行政事业单位养老支出（款）机关事业单位职业年金缴费支出（项）年初预算为232,000.00元，支出决算为232,000.00元，完成年初预算的100.000%，决算数与预算数持平的主要原因是：按照预算批复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5.卫生健康支出（类）行政事业单位医疗（款）事业单位医疗（项）年初预算为290,000.00元，支出决算为290,000.00元，完成年初预算的100.000%，决算数与预算数持平的主要原因是：按照预算批复执行。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其他行政事业单位医疗支出（项）年初预算为97,000.00元，支出决算为82,825.50元，完成年初预算的85.387%，决算数小于预算数的主要原因是：进行人员经费动态管理，核减退休人员医疗经费。</w:t>
      </w:r>
      <w:bookmarkStart w:id="67" w:name="_GoBack"/>
      <w:bookmarkEnd w:id="67"/>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8" w:name="_Toc1648307680"/>
      <w:bookmarkStart w:id="69" w:name="_Toc1127616914"/>
      <w:bookmarkStart w:id="70" w:name="_Toc1828187861"/>
      <w:bookmarkStart w:id="71" w:name="_Toc1745353317"/>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8"/>
      <w:bookmarkEnd w:id="69"/>
      <w:bookmarkEnd w:id="70"/>
      <w:bookmarkEnd w:id="7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7,146,273.37</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减少498,961.49元，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在职人员退休导致人员经费减少</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人员经费6,487,273.37元，主要包括</w:t>
      </w:r>
      <w:r>
        <w:rPr>
          <w:rFonts w:eastAsia="仿宋_GB2312" w:hint="eastAsia"/>
          <w:sz w:val="30"/>
          <w:szCs w:val="30"/>
          <w:highlight w:val="none"/>
          <w:u w:val="none"/>
          <w:lang w:val="en-US" w:eastAsia="zh-CN"/>
        </w:rPr>
        <w:t xml:space="preserve">基本工资、津贴补贴、绩效工资、机关事业单位基本养老保险缴费、职业年金缴费、职工基本医疗保险缴费、其他社会保障缴费、住房公积金、医疗费、其他工资福利支出、退休费</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公用经费659,000.00元，主要包括</w:t>
      </w:r>
      <w:r>
        <w:rPr>
          <w:rFonts w:eastAsia="仿宋_GB2312" w:hint="eastAsia"/>
          <w:sz w:val="30"/>
          <w:szCs w:val="30"/>
          <w:highlight w:val="none"/>
          <w:u w:val="none"/>
          <w:lang w:val="en-US" w:eastAsia="zh-CN"/>
        </w:rPr>
        <w:t xml:space="preserve">办公费、水费、电费、邮电费、物业管理费、差旅费、维修(护)费、培训费、专用材料费、工会经费、福利费、公务用车运行维护费、其他交通费用、其他商品和服务支出、办公设备购置</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1674064446"/>
      <w:bookmarkStart w:id="73" w:name="_Toc568131460"/>
      <w:bookmarkStart w:id="74" w:name="_Toc314288823"/>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1172797200"/>
      <w:bookmarkStart w:id="77" w:name="_Toc1589960188"/>
      <w:bookmarkStart w:id="78" w:name="_Toc1817884575"/>
      <w:bookmarkStart w:id="79" w:name="_Toc873153658"/>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337770055"/>
      <w:bookmarkStart w:id="81" w:name="_Toc1321860095"/>
      <w:bookmarkStart w:id="82" w:name="_Toc936206156"/>
      <w:bookmarkStart w:id="83" w:name="_Toc1597628234"/>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3,000.00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3,000.00</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支出决算较上年增加832.50元</w:t>
      </w:r>
      <w:r>
        <w:rPr>
          <w:rFonts w:eastAsia="仿宋_GB2312" w:hint="eastAsia"/>
          <w:sz w:val="30"/>
          <w:szCs w:val="30"/>
          <w:highlight w:val="none"/>
          <w:u w:val="none"/>
          <w:lang w:val="en-US" w:eastAsia="zh-CN"/>
        </w:rPr>
        <w:t xml:space="preserve">，增长38.408%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决算数与预算数持平的主要原因是合理安排三公经费，严控“三公”经费支出，按照预算批复执行；</w:t>
      </w:r>
      <w:r>
        <w:rPr>
          <w:rFonts w:eastAsia="仿宋_GB2312" w:hint="eastAsia"/>
          <w:sz w:val="30"/>
          <w:szCs w:val="30"/>
          <w:highlight w:val="none"/>
          <w:u w:val="none"/>
          <w:lang w:val="en-US" w:eastAsia="zh-CN"/>
        </w:rPr>
        <w:t xml:space="preserve">决算数较上年增加的主要原因是公车使用频次增加，更换电瓶等公务车运行维护费增加。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281353864"/>
      <w:bookmarkStart w:id="87" w:name="_Toc13009599"/>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3,000.00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3,000.00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支出决算较上年增加832.50元</w:t>
      </w:r>
      <w:r>
        <w:rPr>
          <w:rFonts w:eastAsia="仿宋_GB2312" w:hint="eastAsia"/>
          <w:sz w:val="30"/>
          <w:szCs w:val="30"/>
          <w:highlight w:val="none"/>
          <w:u w:val="none"/>
          <w:lang w:val="en-US" w:eastAsia="zh-CN"/>
        </w:rPr>
        <w:t xml:space="preserve">，增长38.408%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决算数与预算数持平的主要原因是合理安排公车使用，严控公务用车运行维护费支出，按照预算批复执行；</w:t>
      </w:r>
      <w:r>
        <w:rPr>
          <w:rFonts w:eastAsia="仿宋_GB2312" w:hint="eastAsia"/>
          <w:sz w:val="30"/>
          <w:szCs w:val="30"/>
          <w:highlight w:val="none"/>
          <w:u w:val="none"/>
          <w:lang w:val="en-US" w:eastAsia="zh-CN"/>
        </w:rPr>
        <w:t xml:space="preserve">决算数较上年增加的主要原因是公车使用频次增加，更换电瓶等公务车运行维护费增加。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3,000.00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3,000.00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支出决算较上年增加832.50元</w:t>
      </w:r>
      <w:r>
        <w:rPr>
          <w:rFonts w:eastAsia="仿宋_GB2312" w:hint="eastAsia"/>
          <w:sz w:val="30"/>
          <w:szCs w:val="30"/>
          <w:highlight w:val="none"/>
          <w:u w:val="none"/>
          <w:lang w:val="en-US" w:eastAsia="zh-CN"/>
        </w:rPr>
        <w:t xml:space="preserve">，增长38.408%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决算数与预算数持平的主要原因是严控公务用车运行维护费支出，按照预算批复执行；</w:t>
      </w:r>
      <w:r>
        <w:rPr>
          <w:rFonts w:eastAsia="仿宋_GB2312" w:hint="eastAsia"/>
          <w:sz w:val="30"/>
          <w:szCs w:val="30"/>
          <w:highlight w:val="none"/>
          <w:u w:val="none"/>
          <w:lang w:val="en-US" w:eastAsia="zh-CN"/>
        </w:rPr>
        <w:t xml:space="preserve">决算数较上年增加的主要原因是公车使用频次增加，更换电瓶等公务车运行维护费增加。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1</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决算数与预算数持平的主要原因是本年度未用财政拨款经费列支公务接待费；</w:t>
      </w:r>
      <w:r>
        <w:rPr>
          <w:rFonts w:ascii="Times New Roman" w:eastAsia="仿宋_GB2312" w:hAnsi="Times New Roman" w:cs="Times New Roman" w:hint="eastAsia"/>
          <w:sz w:val="30"/>
          <w:szCs w:val="30"/>
          <w:highlight w:val="none"/>
          <w:u w:val="none"/>
          <w:lang w:val="en-US" w:eastAsia="zh-CN"/>
        </w:rPr>
        <w:t xml:space="preserve">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1349690397"/>
      <w:bookmarkStart w:id="89" w:name="_Toc1895013942"/>
      <w:bookmarkStart w:id="90" w:name="_Toc2102885201"/>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天津画院2024年度无机关运行经费。</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376739118"/>
      <w:bookmarkStart w:id="93" w:name="_Toc169354537"/>
      <w:bookmarkStart w:id="94" w:name="_Toc2053194528"/>
      <w:bookmarkStart w:id="95" w:name="_Toc13434755"/>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天津画院2024年度无政府采购支出。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312144350"/>
      <w:bookmarkStart w:id="98" w:name="_Toc125708453"/>
      <w:bookmarkStart w:id="99" w:name="_Toc925871084"/>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截至2024年12月31日，天津画院共有车辆1辆</w:t>
      </w:r>
      <w:r>
        <w:rPr>
          <w:rFonts w:ascii="Times New Roman" w:eastAsia="仿宋_GB2312" w:hAnsi="Times New Roman" w:cs="Times New Roman" w:hint="eastAsia"/>
          <w:sz w:val="30"/>
          <w:szCs w:val="30"/>
          <w:highlight w:val="none"/>
          <w:u w:val="none"/>
          <w:lang w:val="en-US" w:eastAsia="zh-CN"/>
        </w:rPr>
        <w:t xml:space="preserve">，其中：</w:t>
      </w:r>
      <w:r>
        <w:rPr>
          <w:rFonts w:ascii="Times New Roman" w:eastAsia="仿宋_GB2312" w:hAnsi="Times New Roman" w:cs="Times New Roman" w:hint="eastAsia"/>
          <w:sz w:val="30"/>
          <w:szCs w:val="30"/>
          <w:highlight w:val="none"/>
          <w:u w:val="none"/>
          <w:lang w:val="en-US" w:eastAsia="zh-CN"/>
        </w:rPr>
        <w:t xml:space="preserve">机要通信用车1辆</w:t>
      </w:r>
      <w:r>
        <w:rPr>
          <w:rFonts w:ascii="Times New Roman" w:eastAsia="仿宋_GB2312" w:hAnsi="Times New Roman" w:cs="Times New Roman" w:hint="eastAsia"/>
          <w:sz w:val="30"/>
          <w:szCs w:val="30"/>
          <w:highlight w:val="none"/>
          <w:u w:val="none"/>
          <w:lang w:val="en-US" w:eastAsia="zh-CN"/>
        </w:rPr>
        <w:t xml:space="preserve">。单价100万元以上的设备1台（套）。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2055024476"/>
      <w:bookmarkStart w:id="102" w:name="_Toc448802626"/>
      <w:bookmarkStart w:id="103" w:name="_Toc1805544570"/>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根据预算绩效管理要求，天津画院已对3个2024年度市级项目开展绩效自评，涉及金额2,055,856.00元，自评结果已随部门决算一并公开。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天津画院2024年度未开展部门评价。</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天津画院不属于乡、镇、街级单位，不涉及公开2024年度教育、医疗卫生、社会保障和就业、住房保障、涉农补贴等民生支出情况。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1582447786"/>
      <w:bookmarkStart w:id="109" w:name="_Toc282832597"/>
      <w:bookmarkStart w:id="110" w:name="_Toc328799546"/>
      <w:bookmarkStart w:id="111" w:name="_Toc368130082"/>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2.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extended-properti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6.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3.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extended-properti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8eaf0bc-63de-4d5c-bade-39be023db32d}">
  <ds:schemaRefs/>
</ds:datastoreItem>
</file>

<file path=customXml/itemProps11.xml><?xml version="1.0" encoding="utf-8"?>
<ds:datastoreItem xmlns:ds="http://schemas.openxmlformats.org/officeDocument/2006/customXml" ds:itemID="{9e235116-2b60-40f7-90b3-ad0db00c8d58}">
  <ds:schemaRefs/>
</ds:datastoreItem>
</file>

<file path=customXml/itemProps12.xml><?xml version="1.0" encoding="utf-8"?>
<ds:datastoreItem xmlns:ds="http://schemas.openxmlformats.org/officeDocument/2006/customXml" ds:itemID="{5cee1daa-2e55-4f5c-85d1-366dfbe4870f}">
  <ds:schemaRefs/>
</ds:datastoreItem>
</file>

<file path=customXml/itemProps13.xml><?xml version="1.0" encoding="utf-8"?>
<ds:datastoreItem xmlns:ds="http://schemas.openxmlformats.org/officeDocument/2006/customXml" ds:itemID="{4f63a560-0080-4a2d-9b9d-d75b1da56683}">
  <ds:schemaRefs/>
</ds:datastoreItem>
</file>

<file path=customXml/itemProps14.xml><?xml version="1.0" encoding="utf-8"?>
<ds:datastoreItem xmlns:ds="http://schemas.openxmlformats.org/officeDocument/2006/customXml" ds:itemID="{c4b34e17-0104-4edc-8b65-fee07f5d6036}">
  <ds:schemaRefs/>
</ds:datastoreItem>
</file>

<file path=customXml/itemProps15.xml><?xml version="1.0" encoding="utf-8"?>
<ds:datastoreItem xmlns:ds="http://schemas.openxmlformats.org/officeDocument/2006/customXml" ds:itemID="{fde1a1c2-fbc7-499d-a1a7-2aef61e292aa}">
  <ds:schemaRefs/>
</ds:datastoreItem>
</file>

<file path=customXml/itemProps16.xml><?xml version="1.0" encoding="utf-8"?>
<ds:datastoreItem xmlns:ds="http://schemas.openxmlformats.org/officeDocument/2006/customXml" ds:itemID="{09a94117-88a3-4e0b-adb3-e69ef559bb83}">
  <ds:schemaRefs/>
</ds:datastoreItem>
</file>

<file path=customXml/itemProps17.xml><?xml version="1.0" encoding="utf-8"?>
<ds:datastoreItem xmlns:ds="http://schemas.openxmlformats.org/officeDocument/2006/customXml" ds:itemID="{69caf7e9-83ee-4d23-8dc7-502960e8f893}">
  <ds:schemaRefs/>
</ds:datastoreItem>
</file>

<file path=customXml/itemProps18.xml><?xml version="1.0" encoding="utf-8"?>
<ds:datastoreItem xmlns:ds="http://schemas.openxmlformats.org/officeDocument/2006/customXml" ds:itemID="{fed59827-4645-40ff-a724-9f89096cf019}">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52f67541-63b6-4140-b9ed-036c4605808a}">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bd026816-a8a2-4241-bc81-c89b8d4f3340}">
  <ds:schemaRefs/>
</ds:datastoreItem>
</file>

<file path=customXml/itemProps25.xml><?xml version="1.0" encoding="utf-8"?>
<ds:datastoreItem xmlns:ds="http://schemas.openxmlformats.org/officeDocument/2006/customXml" ds:itemID="{5ae26f72-fa8e-4537-a3dd-d3b8478cfcfe}">
  <ds:schemaRefs/>
</ds:datastoreItem>
</file>

<file path=customXml/itemProps26.xml><?xml version="1.0" encoding="utf-8"?>
<ds:datastoreItem xmlns:ds="http://schemas.openxmlformats.org/officeDocument/2006/customXml" ds:itemID="{94c20284-5daf-437f-afc2-b95276a97113}">
  <ds:schemaRefs/>
</ds:datastoreItem>
</file>

<file path=customXml/itemProps27.xml><?xml version="1.0" encoding="utf-8"?>
<ds:datastoreItem xmlns:ds="http://schemas.openxmlformats.org/officeDocument/2006/customXml" ds:itemID="{96e1175b-a67b-46ae-b85d-6da15fc25627}">
  <ds:schemaRefs/>
</ds:datastoreItem>
</file>

<file path=customXml/itemProps3.xml><?xml version="1.0" encoding="utf-8"?>
<ds:datastoreItem xmlns:ds="http://schemas.openxmlformats.org/officeDocument/2006/customXml" ds:itemID="{f3baaf12-834e-4002-b80c-f5a50f7a299f}">
  <ds:schemaRefs/>
</ds:datastoreItem>
</file>

<file path=customXml/itemProps4.xml><?xml version="1.0" encoding="utf-8"?>
<ds:datastoreItem xmlns:ds="http://schemas.openxmlformats.org/officeDocument/2006/customXml" ds:itemID="{ad23279a-c336-4dd7-ba6e-62405502a753}">
  <ds:schemaRefs/>
</ds:datastoreItem>
</file>

<file path=customXml/itemProps5.xml><?xml version="1.0" encoding="utf-8"?>
<ds:datastoreItem xmlns:ds="http://schemas.openxmlformats.org/officeDocument/2006/customXml" ds:itemID="{cc5df07e-bffa-43fa-a3cd-98069df0f687}">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75280075-3007-485f-9daf-575194e50c9b}">
  <ds:schemaRefs/>
</ds:datastoreItem>
</file>

<file path=customXml/itemProps8.xml><?xml version="1.0" encoding="utf-8"?>
<ds:datastoreItem xmlns:ds="http://schemas.openxmlformats.org/officeDocument/2006/customXml" ds:itemID="{e7b89b85-de50-4fa4-b41b-da9ea0b13fc5}">
  <ds:schemaRefs/>
</ds:datastoreItem>
</file>

<file path=customXml/itemProps9.xml><?xml version="1.0" encoding="utf-8"?>
<ds:datastoreItem xmlns:ds="http://schemas.openxmlformats.org/officeDocument/2006/customXml" ds:itemID="{cc88aea9-b6d6-4ed3-8d23-5498e7b9bef0}">
  <ds:schemaRefs/>
</ds:datastoreItem>
</file>

<file path=docProps/app.xml><?xml version="1.0" encoding="utf-8"?>
<Properties xmlns:vt="http://schemas.openxmlformats.org/officeDocument/2006/docPropsVTypes" xmlns="http://schemas.openxmlformats.org/officeDocument/2006/extended-properti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2025-08-14T14:58:12Z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